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32" w:rsidRDefault="00785225" w:rsidP="001E2D67">
      <w:pPr>
        <w:spacing w:line="360" w:lineRule="auto"/>
        <w:rPr>
          <w:sz w:val="28"/>
          <w:szCs w:val="28"/>
        </w:rPr>
      </w:pPr>
      <w:r w:rsidRPr="00785225">
        <w:rPr>
          <w:sz w:val="28"/>
          <w:szCs w:val="28"/>
        </w:rPr>
        <w:t>УДК 001.1</w:t>
      </w:r>
    </w:p>
    <w:p w:rsidR="001E2D67" w:rsidRPr="001E2D67" w:rsidRDefault="001E2D67" w:rsidP="001E2D67">
      <w:pPr>
        <w:spacing w:line="360" w:lineRule="auto"/>
        <w:rPr>
          <w:sz w:val="28"/>
          <w:szCs w:val="28"/>
        </w:rPr>
      </w:pPr>
      <w:r w:rsidRPr="001E2D67">
        <w:rPr>
          <w:b/>
          <w:sz w:val="28"/>
          <w:szCs w:val="28"/>
        </w:rPr>
        <w:t>Иванов Иван Иванович</w:t>
      </w:r>
      <w:r>
        <w:rPr>
          <w:sz w:val="28"/>
          <w:szCs w:val="28"/>
        </w:rPr>
        <w:t xml:space="preserve">, Самара, Поволжский государственный университет телекоммуникаций и информатики, </w:t>
      </w:r>
      <w:r w:rsidRPr="001E2D67">
        <w:rPr>
          <w:sz w:val="28"/>
          <w:szCs w:val="28"/>
          <w:lang w:val="en-US"/>
        </w:rPr>
        <w:t>mail</w:t>
      </w:r>
      <w:r w:rsidRPr="001E2D67">
        <w:rPr>
          <w:sz w:val="28"/>
          <w:szCs w:val="28"/>
        </w:rPr>
        <w:t>@</w:t>
      </w:r>
      <w:r w:rsidRPr="001E2D67">
        <w:rPr>
          <w:sz w:val="28"/>
          <w:szCs w:val="28"/>
          <w:lang w:val="en-US"/>
        </w:rPr>
        <w:t>ma</w:t>
      </w:r>
      <w:r w:rsidRPr="001E2D67">
        <w:rPr>
          <w:sz w:val="28"/>
          <w:szCs w:val="28"/>
          <w:lang w:val="en-US"/>
        </w:rPr>
        <w:t>i</w:t>
      </w:r>
      <w:r w:rsidRPr="001E2D67">
        <w:rPr>
          <w:sz w:val="28"/>
          <w:szCs w:val="28"/>
          <w:lang w:val="en-US"/>
        </w:rPr>
        <w:t>l</w:t>
      </w:r>
      <w:r w:rsidRPr="001E2D67">
        <w:rPr>
          <w:sz w:val="28"/>
          <w:szCs w:val="28"/>
        </w:rPr>
        <w:t>.</w:t>
      </w:r>
      <w:proofErr w:type="spellStart"/>
      <w:r w:rsidRPr="001E2D67">
        <w:rPr>
          <w:sz w:val="28"/>
          <w:szCs w:val="28"/>
          <w:lang w:val="en-US"/>
        </w:rPr>
        <w:t>ru</w:t>
      </w:r>
      <w:proofErr w:type="spellEnd"/>
      <w:r w:rsidRPr="001E2D67">
        <w:rPr>
          <w:sz w:val="28"/>
          <w:szCs w:val="28"/>
        </w:rPr>
        <w:t>, +7 (999) 999-99-99</w:t>
      </w:r>
      <w:r>
        <w:rPr>
          <w:sz w:val="28"/>
          <w:szCs w:val="28"/>
        </w:rPr>
        <w:t>, 01.01.2001, Автор</w:t>
      </w:r>
    </w:p>
    <w:p w:rsidR="001E2D67" w:rsidRDefault="001E2D67" w:rsidP="001E2D6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Семенов Семен Семенович</w:t>
      </w:r>
      <w:r>
        <w:rPr>
          <w:sz w:val="28"/>
          <w:szCs w:val="28"/>
        </w:rPr>
        <w:t xml:space="preserve">, Самара, </w:t>
      </w:r>
      <w:r>
        <w:rPr>
          <w:sz w:val="28"/>
          <w:szCs w:val="28"/>
        </w:rPr>
        <w:t>Самарский государственный педагогический университет</w:t>
      </w:r>
      <w:r>
        <w:rPr>
          <w:sz w:val="28"/>
          <w:szCs w:val="28"/>
        </w:rPr>
        <w:t xml:space="preserve">, </w:t>
      </w:r>
      <w:r w:rsidRPr="001E2D67">
        <w:rPr>
          <w:sz w:val="28"/>
          <w:szCs w:val="28"/>
          <w:lang w:val="en-US"/>
        </w:rPr>
        <w:t>mail</w:t>
      </w:r>
      <w:r w:rsidRPr="001E2D67">
        <w:rPr>
          <w:sz w:val="28"/>
          <w:szCs w:val="28"/>
        </w:rPr>
        <w:t>@</w:t>
      </w:r>
      <w:r w:rsidRPr="001E2D67">
        <w:rPr>
          <w:sz w:val="28"/>
          <w:szCs w:val="28"/>
          <w:lang w:val="en-US"/>
        </w:rPr>
        <w:t>mail</w:t>
      </w:r>
      <w:r w:rsidRPr="001E2D67">
        <w:rPr>
          <w:sz w:val="28"/>
          <w:szCs w:val="28"/>
        </w:rPr>
        <w:t>.</w:t>
      </w:r>
      <w:proofErr w:type="spellStart"/>
      <w:r w:rsidRPr="001E2D67">
        <w:rPr>
          <w:sz w:val="28"/>
          <w:szCs w:val="28"/>
          <w:lang w:val="en-US"/>
        </w:rPr>
        <w:t>ru</w:t>
      </w:r>
      <w:proofErr w:type="spellEnd"/>
      <w:r w:rsidRPr="001E2D67">
        <w:rPr>
          <w:sz w:val="28"/>
          <w:szCs w:val="28"/>
        </w:rPr>
        <w:t>, +7 (999) 999-99-99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01.01.2001</w:t>
      </w:r>
      <w:r>
        <w:rPr>
          <w:sz w:val="28"/>
          <w:szCs w:val="28"/>
        </w:rPr>
        <w:t>, Автор</w:t>
      </w:r>
    </w:p>
    <w:p w:rsidR="001E2D67" w:rsidRPr="001E2D67" w:rsidRDefault="001E2D67" w:rsidP="001E2D6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Петров Петр Петрович</w:t>
      </w:r>
      <w:r>
        <w:rPr>
          <w:sz w:val="28"/>
          <w:szCs w:val="28"/>
        </w:rPr>
        <w:t xml:space="preserve">, Самара, Самарский государственный </w:t>
      </w:r>
      <w:r>
        <w:rPr>
          <w:sz w:val="28"/>
          <w:szCs w:val="28"/>
        </w:rPr>
        <w:t>аэрокосмический университет</w:t>
      </w:r>
      <w:r>
        <w:rPr>
          <w:sz w:val="28"/>
          <w:szCs w:val="28"/>
        </w:rPr>
        <w:t xml:space="preserve">, </w:t>
      </w:r>
      <w:r w:rsidRPr="001E2D67">
        <w:rPr>
          <w:sz w:val="28"/>
          <w:szCs w:val="28"/>
          <w:lang w:val="en-US"/>
        </w:rPr>
        <w:t>mail</w:t>
      </w:r>
      <w:r w:rsidRPr="001E2D67">
        <w:rPr>
          <w:sz w:val="28"/>
          <w:szCs w:val="28"/>
        </w:rPr>
        <w:t>@</w:t>
      </w:r>
      <w:r w:rsidRPr="001E2D67">
        <w:rPr>
          <w:sz w:val="28"/>
          <w:szCs w:val="28"/>
          <w:lang w:val="en-US"/>
        </w:rPr>
        <w:t>mail</w:t>
      </w:r>
      <w:r w:rsidRPr="001E2D67">
        <w:rPr>
          <w:sz w:val="28"/>
          <w:szCs w:val="28"/>
        </w:rPr>
        <w:t>.</w:t>
      </w:r>
      <w:proofErr w:type="spellStart"/>
      <w:r w:rsidRPr="001E2D67">
        <w:rPr>
          <w:sz w:val="28"/>
          <w:szCs w:val="28"/>
          <w:lang w:val="en-US"/>
        </w:rPr>
        <w:t>ru</w:t>
      </w:r>
      <w:proofErr w:type="spellEnd"/>
      <w:r w:rsidRPr="001E2D67">
        <w:rPr>
          <w:sz w:val="28"/>
          <w:szCs w:val="28"/>
        </w:rPr>
        <w:t>, +7 (999) 999-99-99</w:t>
      </w:r>
      <w:r>
        <w:rPr>
          <w:sz w:val="28"/>
          <w:szCs w:val="28"/>
        </w:rPr>
        <w:t>, 01.01.2001</w:t>
      </w:r>
      <w:r>
        <w:rPr>
          <w:sz w:val="28"/>
          <w:szCs w:val="28"/>
        </w:rPr>
        <w:t>, Научный руководитель</w:t>
      </w:r>
    </w:p>
    <w:p w:rsidR="001E2D67" w:rsidRPr="002333EB" w:rsidRDefault="001E2D67" w:rsidP="002333EB">
      <w:pPr>
        <w:spacing w:line="360" w:lineRule="auto"/>
        <w:jc w:val="center"/>
        <w:rPr>
          <w:b/>
          <w:sz w:val="28"/>
          <w:szCs w:val="28"/>
        </w:rPr>
      </w:pPr>
      <w:r w:rsidRPr="002333EB">
        <w:rPr>
          <w:b/>
          <w:sz w:val="28"/>
          <w:szCs w:val="28"/>
        </w:rPr>
        <w:t>Название статьи на языке статьи</w:t>
      </w:r>
      <w:r w:rsidR="002333EB" w:rsidRPr="002333EB">
        <w:rPr>
          <w:b/>
          <w:sz w:val="28"/>
          <w:szCs w:val="28"/>
        </w:rPr>
        <w:t>, начертание – «полужирное», регистр «как в предложении»,  выравнивание – «по центру»</w:t>
      </w:r>
    </w:p>
    <w:p w:rsidR="001E2D67" w:rsidRPr="002333EB" w:rsidRDefault="002333EB" w:rsidP="002333EB">
      <w:pPr>
        <w:spacing w:line="360" w:lineRule="auto"/>
        <w:ind w:firstLine="709"/>
        <w:rPr>
          <w:b/>
          <w:sz w:val="28"/>
          <w:szCs w:val="28"/>
        </w:rPr>
      </w:pPr>
      <w:r w:rsidRPr="002333EB">
        <w:rPr>
          <w:b/>
          <w:sz w:val="28"/>
          <w:szCs w:val="28"/>
        </w:rPr>
        <w:t>Аннотация</w:t>
      </w:r>
    </w:p>
    <w:p w:rsidR="001E2D67" w:rsidRDefault="002333EB" w:rsidP="002333E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333EB">
        <w:rPr>
          <w:sz w:val="28"/>
          <w:szCs w:val="28"/>
        </w:rPr>
        <w:t>Текст аннотации на языке статьи</w:t>
      </w:r>
      <w:r>
        <w:rPr>
          <w:sz w:val="28"/>
          <w:szCs w:val="28"/>
        </w:rPr>
        <w:t>, 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333EB">
        <w:rPr>
          <w:sz w:val="28"/>
          <w:szCs w:val="28"/>
        </w:rPr>
        <w:t>екст аннотации на языке статьи</w:t>
      </w:r>
      <w:r>
        <w:rPr>
          <w:sz w:val="28"/>
          <w:szCs w:val="28"/>
        </w:rPr>
        <w:t>.</w:t>
      </w:r>
      <w:proofErr w:type="gramEnd"/>
    </w:p>
    <w:p w:rsidR="002333EB" w:rsidRPr="002333EB" w:rsidRDefault="002333EB" w:rsidP="002333EB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слова</w:t>
      </w:r>
    </w:p>
    <w:p w:rsidR="002333EB" w:rsidRDefault="002333EB" w:rsidP="002333E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Ключевое слово, ключевое слово, </w:t>
      </w:r>
      <w:r>
        <w:rPr>
          <w:sz w:val="28"/>
          <w:szCs w:val="28"/>
        </w:rPr>
        <w:t>ключевое слово,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ключевое слово,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ключевое слово,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ключевое слово,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ключевое слово,</w:t>
      </w:r>
      <w:r w:rsidRPr="002333EB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ключевое слово.</w:t>
      </w:r>
    </w:p>
    <w:p w:rsidR="002333EB" w:rsidRDefault="002333EB" w:rsidP="002333EB">
      <w:pPr>
        <w:spacing w:line="360" w:lineRule="auto"/>
        <w:ind w:firstLine="709"/>
        <w:rPr>
          <w:sz w:val="28"/>
          <w:szCs w:val="28"/>
        </w:rPr>
      </w:pPr>
    </w:p>
    <w:p w:rsidR="002148F4" w:rsidRDefault="002148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48F4" w:rsidRDefault="002148F4" w:rsidP="002148F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UDC</w:t>
      </w:r>
      <w:r w:rsidRPr="00785225">
        <w:rPr>
          <w:sz w:val="28"/>
          <w:szCs w:val="28"/>
        </w:rPr>
        <w:t xml:space="preserve"> 001.1</w:t>
      </w:r>
    </w:p>
    <w:p w:rsidR="002148F4" w:rsidRPr="002148F4" w:rsidRDefault="002148F4" w:rsidP="002148F4">
      <w:pPr>
        <w:spacing w:line="360" w:lineRule="auto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Ivanov</w:t>
      </w:r>
      <w:proofErr w:type="spellEnd"/>
      <w:r w:rsidRPr="002148F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Ivan</w:t>
      </w:r>
      <w:r w:rsidRPr="002148F4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Ivanovich</w:t>
      </w:r>
      <w:proofErr w:type="spellEnd"/>
      <w:r w:rsidRPr="002148F4">
        <w:rPr>
          <w:sz w:val="28"/>
          <w:szCs w:val="28"/>
          <w:lang w:val="en-US"/>
        </w:rPr>
        <w:t xml:space="preserve">, </w:t>
      </w:r>
      <w:r w:rsidRPr="002148F4">
        <w:rPr>
          <w:sz w:val="28"/>
          <w:szCs w:val="28"/>
          <w:lang w:val="en-US"/>
        </w:rPr>
        <w:t>Samara, Volga State University of Telecommunications and Informatics</w:t>
      </w:r>
      <w:r w:rsidRPr="002148F4">
        <w:rPr>
          <w:sz w:val="28"/>
          <w:szCs w:val="28"/>
          <w:lang w:val="en-US"/>
        </w:rPr>
        <w:t xml:space="preserve">, </w:t>
      </w:r>
      <w:r w:rsidRPr="001E2D67">
        <w:rPr>
          <w:sz w:val="28"/>
          <w:szCs w:val="28"/>
          <w:lang w:val="en-US"/>
        </w:rPr>
        <w:t>mail</w:t>
      </w:r>
      <w:r w:rsidRPr="002148F4">
        <w:rPr>
          <w:sz w:val="28"/>
          <w:szCs w:val="28"/>
          <w:lang w:val="en-US"/>
        </w:rPr>
        <w:t>@</w:t>
      </w:r>
      <w:r w:rsidRPr="001E2D67">
        <w:rPr>
          <w:sz w:val="28"/>
          <w:szCs w:val="28"/>
          <w:lang w:val="en-US"/>
        </w:rPr>
        <w:t>mail</w:t>
      </w:r>
      <w:r w:rsidRPr="002148F4">
        <w:rPr>
          <w:sz w:val="28"/>
          <w:szCs w:val="28"/>
          <w:lang w:val="en-US"/>
        </w:rPr>
        <w:t>.</w:t>
      </w:r>
      <w:r w:rsidRPr="001E2D67">
        <w:rPr>
          <w:sz w:val="28"/>
          <w:szCs w:val="28"/>
          <w:lang w:val="en-US"/>
        </w:rPr>
        <w:t>ru</w:t>
      </w:r>
      <w:r w:rsidRPr="002148F4">
        <w:rPr>
          <w:sz w:val="28"/>
          <w:szCs w:val="28"/>
          <w:lang w:val="en-US"/>
        </w:rPr>
        <w:t xml:space="preserve">, +7 (999) 999-99-99, 01.01.2001, </w:t>
      </w:r>
      <w:r w:rsidRPr="002148F4">
        <w:rPr>
          <w:sz w:val="28"/>
          <w:szCs w:val="28"/>
          <w:lang w:val="en-US"/>
        </w:rPr>
        <w:t>Author</w:t>
      </w:r>
    </w:p>
    <w:p w:rsidR="002148F4" w:rsidRPr="002148F4" w:rsidRDefault="002148F4" w:rsidP="002148F4">
      <w:pPr>
        <w:spacing w:line="360" w:lineRule="auto"/>
        <w:rPr>
          <w:sz w:val="28"/>
          <w:szCs w:val="28"/>
          <w:lang w:val="en-US"/>
        </w:rPr>
      </w:pPr>
      <w:r w:rsidRPr="002148F4">
        <w:rPr>
          <w:b/>
          <w:sz w:val="28"/>
          <w:szCs w:val="28"/>
          <w:lang w:val="en-US"/>
        </w:rPr>
        <w:t xml:space="preserve">Semenov </w:t>
      </w:r>
      <w:proofErr w:type="spellStart"/>
      <w:r w:rsidRPr="002148F4">
        <w:rPr>
          <w:b/>
          <w:sz w:val="28"/>
          <w:szCs w:val="28"/>
          <w:lang w:val="en-US"/>
        </w:rPr>
        <w:t>Semyon</w:t>
      </w:r>
      <w:proofErr w:type="spellEnd"/>
      <w:r w:rsidRPr="002148F4">
        <w:rPr>
          <w:b/>
          <w:sz w:val="28"/>
          <w:szCs w:val="28"/>
          <w:lang w:val="en-US"/>
        </w:rPr>
        <w:t xml:space="preserve"> </w:t>
      </w:r>
      <w:proofErr w:type="spellStart"/>
      <w:r w:rsidRPr="002148F4">
        <w:rPr>
          <w:b/>
          <w:sz w:val="28"/>
          <w:szCs w:val="28"/>
          <w:lang w:val="en-US"/>
        </w:rPr>
        <w:t>Semenovich</w:t>
      </w:r>
      <w:proofErr w:type="spellEnd"/>
      <w:r w:rsidRPr="002148F4">
        <w:rPr>
          <w:b/>
          <w:sz w:val="28"/>
          <w:szCs w:val="28"/>
          <w:lang w:val="en-US"/>
        </w:rPr>
        <w:t xml:space="preserve">, </w:t>
      </w:r>
      <w:r w:rsidRPr="002148F4">
        <w:rPr>
          <w:sz w:val="28"/>
          <w:szCs w:val="28"/>
          <w:lang w:val="en-US"/>
        </w:rPr>
        <w:t>Samara, Samara State Pedagogical University, mail@mail.ru, +7 (999) 999-99-99, 01.01.2001, Author</w:t>
      </w:r>
    </w:p>
    <w:p w:rsidR="002148F4" w:rsidRPr="002148F4" w:rsidRDefault="002148F4" w:rsidP="002148F4">
      <w:pPr>
        <w:spacing w:line="360" w:lineRule="auto"/>
        <w:rPr>
          <w:sz w:val="28"/>
          <w:szCs w:val="28"/>
          <w:lang w:val="en-US"/>
        </w:rPr>
      </w:pPr>
      <w:proofErr w:type="spellStart"/>
      <w:r w:rsidRPr="002148F4">
        <w:rPr>
          <w:b/>
          <w:sz w:val="28"/>
          <w:szCs w:val="28"/>
          <w:lang w:val="en-US"/>
        </w:rPr>
        <w:t>Petrov</w:t>
      </w:r>
      <w:proofErr w:type="spellEnd"/>
      <w:r w:rsidRPr="002148F4">
        <w:rPr>
          <w:b/>
          <w:sz w:val="28"/>
          <w:szCs w:val="28"/>
          <w:lang w:val="en-US"/>
        </w:rPr>
        <w:t xml:space="preserve"> </w:t>
      </w:r>
      <w:proofErr w:type="spellStart"/>
      <w:r w:rsidRPr="002148F4">
        <w:rPr>
          <w:b/>
          <w:sz w:val="28"/>
          <w:szCs w:val="28"/>
          <w:lang w:val="en-US"/>
        </w:rPr>
        <w:t>Petr</w:t>
      </w:r>
      <w:proofErr w:type="spellEnd"/>
      <w:r w:rsidRPr="002148F4">
        <w:rPr>
          <w:b/>
          <w:sz w:val="28"/>
          <w:szCs w:val="28"/>
          <w:lang w:val="en-US"/>
        </w:rPr>
        <w:t xml:space="preserve"> </w:t>
      </w:r>
      <w:proofErr w:type="spellStart"/>
      <w:r w:rsidRPr="002148F4">
        <w:rPr>
          <w:b/>
          <w:sz w:val="28"/>
          <w:szCs w:val="28"/>
          <w:lang w:val="en-US"/>
        </w:rPr>
        <w:t>Petrovich</w:t>
      </w:r>
      <w:proofErr w:type="spellEnd"/>
      <w:r w:rsidRPr="002148F4">
        <w:rPr>
          <w:sz w:val="28"/>
          <w:szCs w:val="28"/>
          <w:lang w:val="en-US"/>
        </w:rPr>
        <w:t>, Samara, Samara State Aerospace University, mail@mail.ru, +7 (999) 999-99-99, 01.01.2001, Scientific adviser</w:t>
      </w:r>
    </w:p>
    <w:p w:rsidR="002148F4" w:rsidRPr="002148F4" w:rsidRDefault="002148F4" w:rsidP="002148F4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2148F4">
        <w:rPr>
          <w:b/>
          <w:sz w:val="28"/>
          <w:szCs w:val="28"/>
          <w:lang w:val="en-US"/>
        </w:rPr>
        <w:t>Title of the article in English, style - "bold", case "as in a sentence", alignment - "centered"</w:t>
      </w:r>
    </w:p>
    <w:p w:rsidR="002148F4" w:rsidRPr="002148F4" w:rsidRDefault="002148F4" w:rsidP="002148F4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2148F4">
        <w:rPr>
          <w:b/>
          <w:sz w:val="28"/>
          <w:szCs w:val="28"/>
          <w:lang w:val="en-US"/>
        </w:rPr>
        <w:t>Abstract</w:t>
      </w:r>
    </w:p>
    <w:p w:rsidR="002148F4" w:rsidRPr="002148F4" w:rsidRDefault="002148F4" w:rsidP="002148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 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 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 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 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 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 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,</w:t>
      </w:r>
      <w:r w:rsidRPr="002148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Abstract</w:t>
      </w:r>
      <w:r w:rsidRPr="002148F4">
        <w:rPr>
          <w:sz w:val="28"/>
          <w:szCs w:val="28"/>
          <w:lang w:val="en-US"/>
        </w:rPr>
        <w:t xml:space="preserve"> text in English</w:t>
      </w:r>
      <w:r>
        <w:rPr>
          <w:sz w:val="28"/>
          <w:szCs w:val="28"/>
          <w:lang w:val="en-US"/>
        </w:rPr>
        <w:t>/</w:t>
      </w:r>
    </w:p>
    <w:p w:rsidR="002148F4" w:rsidRPr="002148F4" w:rsidRDefault="002148F4" w:rsidP="002148F4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2148F4">
        <w:rPr>
          <w:b/>
          <w:sz w:val="28"/>
          <w:szCs w:val="28"/>
          <w:lang w:val="en-US"/>
        </w:rPr>
        <w:t>Keywords</w:t>
      </w:r>
    </w:p>
    <w:p w:rsidR="002148F4" w:rsidRPr="002148F4" w:rsidRDefault="002148F4" w:rsidP="002148F4">
      <w:pPr>
        <w:spacing w:line="360" w:lineRule="auto"/>
        <w:ind w:firstLine="709"/>
        <w:rPr>
          <w:sz w:val="28"/>
          <w:szCs w:val="28"/>
          <w:lang w:val="en-US"/>
        </w:rPr>
      </w:pPr>
      <w:proofErr w:type="gramStart"/>
      <w:r w:rsidRPr="002148F4">
        <w:rPr>
          <w:sz w:val="28"/>
          <w:szCs w:val="28"/>
          <w:lang w:val="en-US"/>
        </w:rPr>
        <w:t xml:space="preserve">Keyword, Keyword, Keyword, Keyword, Keyword, Keyword, Keyword, </w:t>
      </w:r>
      <w:r w:rsidRPr="002148F4">
        <w:rPr>
          <w:sz w:val="28"/>
          <w:szCs w:val="28"/>
          <w:lang w:val="en-US"/>
        </w:rPr>
        <w:t xml:space="preserve">Keyword, Keyword, Keyword, Keyword, </w:t>
      </w:r>
      <w:r w:rsidRPr="002148F4">
        <w:rPr>
          <w:sz w:val="28"/>
          <w:szCs w:val="28"/>
          <w:lang w:val="en-US"/>
        </w:rPr>
        <w:t>Keyword.</w:t>
      </w:r>
      <w:proofErr w:type="gramEnd"/>
    </w:p>
    <w:p w:rsidR="002333EB" w:rsidRPr="002148F4" w:rsidRDefault="002333EB" w:rsidP="002333EB">
      <w:pPr>
        <w:spacing w:line="360" w:lineRule="auto"/>
        <w:ind w:firstLine="709"/>
        <w:rPr>
          <w:sz w:val="28"/>
          <w:szCs w:val="28"/>
          <w:lang w:val="en-US"/>
        </w:rPr>
      </w:pPr>
    </w:p>
    <w:p w:rsidR="002148F4" w:rsidRDefault="002148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2148F4" w:rsidRPr="002148F4" w:rsidRDefault="002148F4" w:rsidP="002148F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2148F4" w:rsidRDefault="002148F4" w:rsidP="002148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333EB">
        <w:rPr>
          <w:sz w:val="28"/>
          <w:szCs w:val="28"/>
        </w:rPr>
        <w:t xml:space="preserve">Текст </w:t>
      </w:r>
      <w:r>
        <w:rPr>
          <w:sz w:val="28"/>
          <w:szCs w:val="28"/>
        </w:rPr>
        <w:t xml:space="preserve">статьи, текст статьи,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</w:t>
      </w:r>
      <w:proofErr w:type="gramEnd"/>
      <w:r>
        <w:rPr>
          <w:sz w:val="28"/>
          <w:szCs w:val="28"/>
        </w:rPr>
        <w:t>,</w:t>
      </w:r>
      <w:r w:rsidRPr="002148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</w:t>
      </w:r>
      <w:proofErr w:type="gramEnd"/>
      <w:r>
        <w:rPr>
          <w:sz w:val="28"/>
          <w:szCs w:val="28"/>
        </w:rPr>
        <w:t>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</w:p>
    <w:p w:rsidR="002333EB" w:rsidRPr="002148F4" w:rsidRDefault="005A5DFC" w:rsidP="005A5DF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0" cy="3241764"/>
            <wp:effectExtent l="0" t="0" r="0" b="0"/>
            <wp:docPr id="1" name="Рисунок 1" descr="C:\Users\Владислав\Documents\photo-1419640303358-44f0d27f4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слав\Documents\photo-1419640303358-44f0d27f48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EB" w:rsidRDefault="005A5DFC" w:rsidP="005A5DFC">
      <w:pPr>
        <w:spacing w:line="360" w:lineRule="auto"/>
        <w:jc w:val="center"/>
        <w:rPr>
          <w:i/>
          <w:sz w:val="28"/>
          <w:szCs w:val="28"/>
        </w:rPr>
      </w:pPr>
      <w:r w:rsidRPr="005A5DFC">
        <w:rPr>
          <w:i/>
          <w:sz w:val="28"/>
          <w:szCs w:val="28"/>
        </w:rPr>
        <w:t xml:space="preserve">Рисунок 1. Заголовок изображения. </w:t>
      </w:r>
      <w:proofErr w:type="gramStart"/>
      <w:r w:rsidRPr="005A5DFC">
        <w:rPr>
          <w:i/>
          <w:sz w:val="28"/>
          <w:szCs w:val="28"/>
        </w:rPr>
        <w:t>Начертание «курсив», регистр – «как в предложении», выравнивание – «по центру», отступ – «0».</w:t>
      </w:r>
      <w:proofErr w:type="gramEnd"/>
    </w:p>
    <w:p w:rsidR="005A5DFC" w:rsidRDefault="005A5DFC" w:rsidP="005A5D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333EB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статьи, текст статьи, 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</w:t>
      </w:r>
      <w:proofErr w:type="gramEnd"/>
      <w:r>
        <w:rPr>
          <w:sz w:val="28"/>
          <w:szCs w:val="28"/>
        </w:rPr>
        <w:t>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атьи,</w:t>
      </w:r>
    </w:p>
    <w:p w:rsidR="005A5DFC" w:rsidRPr="005A5DFC" w:rsidRDefault="005A5DFC" w:rsidP="005A5DFC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5A5DFC">
        <w:rPr>
          <w:i/>
          <w:sz w:val="28"/>
          <w:szCs w:val="28"/>
        </w:rPr>
        <w:t>Таблица 1</w:t>
      </w:r>
    </w:p>
    <w:p w:rsidR="005A5DFC" w:rsidRDefault="0045416E" w:rsidP="0045416E">
      <w:pPr>
        <w:spacing w:line="360" w:lineRule="auto"/>
        <w:jc w:val="center"/>
        <w:rPr>
          <w:i/>
          <w:sz w:val="28"/>
          <w:szCs w:val="28"/>
        </w:rPr>
      </w:pPr>
      <w:r w:rsidRPr="0045416E">
        <w:rPr>
          <w:i/>
          <w:sz w:val="28"/>
          <w:szCs w:val="28"/>
        </w:rPr>
        <w:t xml:space="preserve">Заголовок таблицы. </w:t>
      </w:r>
      <w:r w:rsidRPr="0045416E">
        <w:rPr>
          <w:i/>
          <w:sz w:val="28"/>
          <w:szCs w:val="28"/>
        </w:rPr>
        <w:t>Начертание – «курсив», выравнивание – «по центру».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416E" w:rsidTr="0045416E">
        <w:tc>
          <w:tcPr>
            <w:tcW w:w="3284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</w:t>
            </w: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</w:t>
            </w: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</w:t>
            </w:r>
          </w:p>
        </w:tc>
      </w:tr>
      <w:tr w:rsidR="0045416E" w:rsidTr="0045416E">
        <w:tc>
          <w:tcPr>
            <w:tcW w:w="3284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416E" w:rsidTr="0045416E">
        <w:tc>
          <w:tcPr>
            <w:tcW w:w="3284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5416E" w:rsidTr="0045416E">
        <w:tc>
          <w:tcPr>
            <w:tcW w:w="3284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45416E" w:rsidRDefault="0045416E" w:rsidP="0045416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5416E" w:rsidRDefault="0045416E" w:rsidP="0045416E">
      <w:pPr>
        <w:spacing w:line="360" w:lineRule="auto"/>
        <w:jc w:val="center"/>
        <w:rPr>
          <w:sz w:val="28"/>
          <w:szCs w:val="28"/>
        </w:rPr>
      </w:pPr>
    </w:p>
    <w:p w:rsidR="0045416E" w:rsidRDefault="0045416E" w:rsidP="0045416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333EB">
        <w:rPr>
          <w:sz w:val="28"/>
          <w:szCs w:val="28"/>
        </w:rPr>
        <w:t xml:space="preserve">Текст </w:t>
      </w:r>
      <w:r>
        <w:rPr>
          <w:sz w:val="28"/>
          <w:szCs w:val="28"/>
        </w:rPr>
        <w:t>статьи, текст статьи, 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</w:t>
      </w:r>
      <w:proofErr w:type="gramEnd"/>
      <w:r>
        <w:rPr>
          <w:sz w:val="28"/>
          <w:szCs w:val="28"/>
        </w:rPr>
        <w:t>,</w:t>
      </w:r>
      <w:r w:rsidRPr="002148F4">
        <w:rPr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>атьи,</w:t>
      </w:r>
    </w:p>
    <w:p w:rsidR="0045416E" w:rsidRDefault="0045416E" w:rsidP="0045416E">
      <w:pPr>
        <w:spacing w:line="360" w:lineRule="auto"/>
        <w:jc w:val="center"/>
        <w:rPr>
          <w:b/>
          <w:sz w:val="28"/>
          <w:szCs w:val="28"/>
        </w:rPr>
      </w:pPr>
      <w:r w:rsidRPr="0045416E">
        <w:rPr>
          <w:b/>
          <w:sz w:val="28"/>
          <w:szCs w:val="28"/>
        </w:rPr>
        <w:t>Список источников информации</w:t>
      </w:r>
    </w:p>
    <w:p w:rsidR="0045416E" w:rsidRPr="00820CE1" w:rsidRDefault="0045416E" w:rsidP="00820CE1">
      <w:pPr>
        <w:pStyle w:val="ac"/>
        <w:numPr>
          <w:ilvl w:val="0"/>
          <w:numId w:val="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Pr="00820CE1" w:rsidRDefault="00820CE1" w:rsidP="00820CE1">
      <w:pPr>
        <w:pStyle w:val="ac"/>
        <w:numPr>
          <w:ilvl w:val="0"/>
          <w:numId w:val="1"/>
        </w:numPr>
        <w:spacing w:line="360" w:lineRule="auto"/>
        <w:ind w:left="567" w:hanging="567"/>
        <w:rPr>
          <w:sz w:val="28"/>
          <w:szCs w:val="28"/>
        </w:rPr>
      </w:pPr>
      <w:r w:rsidRPr="0045416E">
        <w:rPr>
          <w:iCs/>
          <w:sz w:val="28"/>
          <w:szCs w:val="28"/>
        </w:rPr>
        <w:t xml:space="preserve">Пригожин, А. И. </w:t>
      </w:r>
      <w:proofErr w:type="spellStart"/>
      <w:r w:rsidRPr="0045416E">
        <w:rPr>
          <w:iCs/>
          <w:sz w:val="28"/>
          <w:szCs w:val="28"/>
        </w:rPr>
        <w:t>Инноваторы</w:t>
      </w:r>
      <w:proofErr w:type="spellEnd"/>
      <w:r w:rsidRPr="0045416E">
        <w:rPr>
          <w:iCs/>
          <w:sz w:val="28"/>
          <w:szCs w:val="28"/>
        </w:rPr>
        <w:t xml:space="preserve"> как социальная категория //  Методы активизации инновационных процессов. М., 1998. С. 4-12.</w:t>
      </w:r>
    </w:p>
    <w:p w:rsidR="00820CE1" w:rsidRDefault="00820CE1" w:rsidP="00820CE1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820CE1">
        <w:rPr>
          <w:b/>
          <w:sz w:val="28"/>
          <w:szCs w:val="28"/>
        </w:rPr>
        <w:t>List</w:t>
      </w:r>
      <w:proofErr w:type="spellEnd"/>
      <w:r w:rsidRPr="00820CE1">
        <w:rPr>
          <w:b/>
          <w:sz w:val="28"/>
          <w:szCs w:val="28"/>
        </w:rPr>
        <w:t xml:space="preserve"> </w:t>
      </w:r>
      <w:proofErr w:type="spellStart"/>
      <w:r w:rsidRPr="00820CE1">
        <w:rPr>
          <w:b/>
          <w:sz w:val="28"/>
          <w:szCs w:val="28"/>
        </w:rPr>
        <w:t>of</w:t>
      </w:r>
      <w:proofErr w:type="spellEnd"/>
      <w:r w:rsidRPr="00820CE1">
        <w:rPr>
          <w:b/>
          <w:sz w:val="28"/>
          <w:szCs w:val="28"/>
        </w:rPr>
        <w:t xml:space="preserve"> </w:t>
      </w:r>
      <w:proofErr w:type="spellStart"/>
      <w:r w:rsidRPr="00820CE1">
        <w:rPr>
          <w:b/>
          <w:sz w:val="28"/>
          <w:szCs w:val="28"/>
        </w:rPr>
        <w:t>information</w:t>
      </w:r>
      <w:proofErr w:type="spellEnd"/>
      <w:r w:rsidRPr="00820CE1">
        <w:rPr>
          <w:b/>
          <w:sz w:val="28"/>
          <w:szCs w:val="28"/>
        </w:rPr>
        <w:t xml:space="preserve"> </w:t>
      </w:r>
      <w:proofErr w:type="spellStart"/>
      <w:r w:rsidRPr="00820CE1">
        <w:rPr>
          <w:b/>
          <w:sz w:val="28"/>
          <w:szCs w:val="28"/>
        </w:rPr>
        <w:t>sources</w:t>
      </w:r>
      <w:proofErr w:type="spellEnd"/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 xml:space="preserve">, AI Innovators as a social category // Methods of activating innovation processes. M., 1998.S. 4-12. </w:t>
      </w:r>
      <w:bookmarkStart w:id="0" w:name="_GoBack"/>
      <w:bookmarkEnd w:id="0"/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numPr>
          <w:ilvl w:val="0"/>
          <w:numId w:val="2"/>
        </w:numPr>
        <w:spacing w:line="360" w:lineRule="auto"/>
        <w:ind w:left="567" w:hanging="567"/>
        <w:jc w:val="both"/>
        <w:rPr>
          <w:iCs/>
          <w:sz w:val="28"/>
          <w:szCs w:val="28"/>
          <w:lang w:val="en-US"/>
        </w:rPr>
      </w:pPr>
      <w:proofErr w:type="spellStart"/>
      <w:r w:rsidRPr="00820CE1">
        <w:rPr>
          <w:iCs/>
          <w:sz w:val="28"/>
          <w:szCs w:val="28"/>
          <w:lang w:val="en-US"/>
        </w:rPr>
        <w:t>Prigozhin</w:t>
      </w:r>
      <w:proofErr w:type="spellEnd"/>
      <w:r w:rsidRPr="00820CE1">
        <w:rPr>
          <w:iCs/>
          <w:sz w:val="28"/>
          <w:szCs w:val="28"/>
          <w:lang w:val="en-US"/>
        </w:rPr>
        <w:t>, AI Innovators as a social category // Methods of activating innovation processes. M., 1998.S. 4-12.</w:t>
      </w:r>
    </w:p>
    <w:p w:rsidR="00820CE1" w:rsidRPr="00820CE1" w:rsidRDefault="00820CE1" w:rsidP="00820CE1">
      <w:pPr>
        <w:pStyle w:val="ac"/>
        <w:spacing w:line="360" w:lineRule="auto"/>
        <w:ind w:left="567"/>
        <w:jc w:val="both"/>
        <w:rPr>
          <w:iCs/>
          <w:sz w:val="28"/>
          <w:szCs w:val="28"/>
          <w:lang w:val="en-US"/>
        </w:rPr>
      </w:pPr>
    </w:p>
    <w:sectPr w:rsidR="00820CE1" w:rsidRPr="00820CE1" w:rsidSect="000A7D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F4" w:rsidRDefault="002148F4" w:rsidP="002148F4">
      <w:r>
        <w:separator/>
      </w:r>
    </w:p>
  </w:endnote>
  <w:endnote w:type="continuationSeparator" w:id="0">
    <w:p w:rsidR="002148F4" w:rsidRDefault="002148F4" w:rsidP="002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F4" w:rsidRDefault="002148F4" w:rsidP="002148F4">
      <w:r>
        <w:separator/>
      </w:r>
    </w:p>
  </w:footnote>
  <w:footnote w:type="continuationSeparator" w:id="0">
    <w:p w:rsidR="002148F4" w:rsidRDefault="002148F4" w:rsidP="002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02C"/>
    <w:multiLevelType w:val="hybridMultilevel"/>
    <w:tmpl w:val="040CA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B91BF3"/>
    <w:multiLevelType w:val="hybridMultilevel"/>
    <w:tmpl w:val="040CA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5"/>
    <w:rsid w:val="000A7D5C"/>
    <w:rsid w:val="001E2D67"/>
    <w:rsid w:val="002148F4"/>
    <w:rsid w:val="002333EB"/>
    <w:rsid w:val="0045416E"/>
    <w:rsid w:val="0048386C"/>
    <w:rsid w:val="005A5DFC"/>
    <w:rsid w:val="006C25FB"/>
    <w:rsid w:val="00785225"/>
    <w:rsid w:val="00820CE1"/>
    <w:rsid w:val="008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D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D6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14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8F4"/>
  </w:style>
  <w:style w:type="paragraph" w:styleId="a7">
    <w:name w:val="footer"/>
    <w:basedOn w:val="a"/>
    <w:link w:val="a8"/>
    <w:uiPriority w:val="99"/>
    <w:unhideWhenUsed/>
    <w:rsid w:val="002148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8F4"/>
  </w:style>
  <w:style w:type="paragraph" w:styleId="a9">
    <w:name w:val="Balloon Text"/>
    <w:basedOn w:val="a"/>
    <w:link w:val="aa"/>
    <w:uiPriority w:val="99"/>
    <w:semiHidden/>
    <w:unhideWhenUsed/>
    <w:rsid w:val="005A5D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DF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54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D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D6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14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8F4"/>
  </w:style>
  <w:style w:type="paragraph" w:styleId="a7">
    <w:name w:val="footer"/>
    <w:basedOn w:val="a"/>
    <w:link w:val="a8"/>
    <w:uiPriority w:val="99"/>
    <w:unhideWhenUsed/>
    <w:rsid w:val="002148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8F4"/>
  </w:style>
  <w:style w:type="paragraph" w:styleId="a9">
    <w:name w:val="Balloon Text"/>
    <w:basedOn w:val="a"/>
    <w:link w:val="aa"/>
    <w:uiPriority w:val="99"/>
    <w:semiHidden/>
    <w:unhideWhenUsed/>
    <w:rsid w:val="005A5D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DF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54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2021-01-02T09:51:00Z</dcterms:created>
  <dcterms:modified xsi:type="dcterms:W3CDTF">2021-01-02T11:12:00Z</dcterms:modified>
</cp:coreProperties>
</file>